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600" w:type="pct"/>
        <w:jc w:val="center"/>
        <w:tblCellSpacing w:w="0" w:type="dxa"/>
        <w:tblCellMar>
          <w:left w:w="0" w:type="dxa"/>
          <w:right w:w="0" w:type="dxa"/>
        </w:tblCellMar>
        <w:tblLook w:val="04A0" w:firstRow="1" w:lastRow="0" w:firstColumn="1" w:lastColumn="0" w:noHBand="0" w:noVBand="1"/>
      </w:tblPr>
      <w:tblGrid>
        <w:gridCol w:w="4568"/>
        <w:gridCol w:w="3074"/>
      </w:tblGrid>
      <w:tr w:rsidR="001C7E12" w:rsidRPr="001C7E12" w14:paraId="242CCC8C" w14:textId="77777777">
        <w:trPr>
          <w:trHeight w:val="600"/>
          <w:tblCellSpacing w:w="0" w:type="dxa"/>
          <w:jc w:val="center"/>
        </w:trPr>
        <w:tc>
          <w:tcPr>
            <w:tcW w:w="0" w:type="auto"/>
            <w:gridSpan w:val="2"/>
            <w:tcMar>
              <w:top w:w="150" w:type="dxa"/>
              <w:left w:w="0" w:type="dxa"/>
              <w:bottom w:w="0" w:type="dxa"/>
              <w:right w:w="0" w:type="dxa"/>
            </w:tcMar>
            <w:vAlign w:val="center"/>
            <w:hideMark/>
          </w:tcPr>
          <w:p w14:paraId="7AC2F48D" w14:textId="77777777" w:rsidR="001C7E12" w:rsidRPr="001C7E12" w:rsidRDefault="001C7E12" w:rsidP="001C7E12">
            <w:pPr>
              <w:widowControl/>
              <w:jc w:val="center"/>
              <w:rPr>
                <w:rFonts w:ascii="宋体" w:eastAsia="宋体" w:hAnsi="宋体" w:cs="宋体"/>
                <w:b/>
                <w:bCs/>
                <w:color w:val="A50606"/>
                <w:kern w:val="0"/>
                <w:szCs w:val="21"/>
              </w:rPr>
            </w:pPr>
            <w:r w:rsidRPr="001C7E12">
              <w:rPr>
                <w:rFonts w:ascii="宋体" w:eastAsia="宋体" w:hAnsi="宋体" w:cs="宋体" w:hint="eastAsia"/>
                <w:b/>
                <w:bCs/>
                <w:color w:val="A50606"/>
                <w:kern w:val="0"/>
                <w:szCs w:val="21"/>
              </w:rPr>
              <w:t>资产评估师转所办理程序</w:t>
            </w:r>
          </w:p>
        </w:tc>
      </w:tr>
      <w:tr w:rsidR="001C7E12" w:rsidRPr="001C7E12" w14:paraId="243713D0" w14:textId="77777777">
        <w:trPr>
          <w:trHeight w:val="600"/>
          <w:tblCellSpacing w:w="0" w:type="dxa"/>
          <w:jc w:val="center"/>
        </w:trPr>
        <w:tc>
          <w:tcPr>
            <w:tcW w:w="0" w:type="auto"/>
            <w:gridSpan w:val="2"/>
            <w:tcMar>
              <w:top w:w="150" w:type="dxa"/>
              <w:left w:w="0" w:type="dxa"/>
              <w:bottom w:w="0" w:type="dxa"/>
              <w:right w:w="0" w:type="dxa"/>
            </w:tcMar>
            <w:vAlign w:val="center"/>
            <w:hideMark/>
          </w:tcPr>
          <w:p w14:paraId="65AFCC22" w14:textId="77777777" w:rsidR="001C7E12" w:rsidRPr="001C7E12" w:rsidRDefault="001C7E12" w:rsidP="001C7E12">
            <w:pPr>
              <w:widowControl/>
              <w:jc w:val="center"/>
              <w:rPr>
                <w:rFonts w:ascii="宋体" w:eastAsia="宋体" w:hAnsi="宋体" w:cs="宋体" w:hint="eastAsia"/>
                <w:b/>
                <w:bCs/>
                <w:color w:val="A50606"/>
                <w:kern w:val="0"/>
                <w:szCs w:val="21"/>
              </w:rPr>
            </w:pPr>
          </w:p>
        </w:tc>
      </w:tr>
      <w:tr w:rsidR="001C7E12" w:rsidRPr="001C7E12" w14:paraId="44B8E425" w14:textId="77777777">
        <w:trPr>
          <w:trHeight w:val="450"/>
          <w:tblCellSpacing w:w="0" w:type="dxa"/>
          <w:jc w:val="center"/>
        </w:trPr>
        <w:tc>
          <w:tcPr>
            <w:tcW w:w="0" w:type="auto"/>
            <w:gridSpan w:val="2"/>
            <w:vAlign w:val="center"/>
            <w:hideMark/>
          </w:tcPr>
          <w:p w14:paraId="6FFFD5C5" w14:textId="77777777" w:rsidR="001C7E12" w:rsidRPr="001C7E12" w:rsidRDefault="001C7E12" w:rsidP="001C7E12">
            <w:pPr>
              <w:widowControl/>
              <w:jc w:val="center"/>
              <w:rPr>
                <w:rFonts w:ascii="Times New Roman" w:eastAsia="Times New Roman" w:hAnsi="Times New Roman" w:cs="Times New Roman"/>
                <w:kern w:val="0"/>
                <w:sz w:val="20"/>
                <w:szCs w:val="20"/>
              </w:rPr>
            </w:pPr>
          </w:p>
        </w:tc>
      </w:tr>
      <w:tr w:rsidR="001C7E12" w:rsidRPr="001C7E12" w14:paraId="1F03AE5A" w14:textId="77777777">
        <w:trPr>
          <w:trHeight w:val="255"/>
          <w:tblCellSpacing w:w="0" w:type="dxa"/>
          <w:jc w:val="center"/>
        </w:trPr>
        <w:tc>
          <w:tcPr>
            <w:tcW w:w="0" w:type="auto"/>
            <w:shd w:val="clear" w:color="auto" w:fill="EAEEF1"/>
            <w:tcMar>
              <w:top w:w="75" w:type="dxa"/>
              <w:left w:w="300" w:type="dxa"/>
              <w:bottom w:w="0" w:type="dxa"/>
              <w:right w:w="0" w:type="dxa"/>
            </w:tcMar>
            <w:vAlign w:val="center"/>
            <w:hideMark/>
          </w:tcPr>
          <w:p w14:paraId="041549C5" w14:textId="77777777" w:rsidR="001C7E12" w:rsidRPr="001C7E12" w:rsidRDefault="001C7E12" w:rsidP="001C7E12">
            <w:pPr>
              <w:widowControl/>
              <w:jc w:val="left"/>
              <w:rPr>
                <w:rFonts w:ascii="宋体" w:eastAsia="宋体" w:hAnsi="宋体" w:cs="宋体"/>
                <w:color w:val="6D6D6D"/>
                <w:kern w:val="0"/>
                <w:sz w:val="18"/>
                <w:szCs w:val="18"/>
              </w:rPr>
            </w:pPr>
            <w:r w:rsidRPr="001C7E12">
              <w:rPr>
                <w:rFonts w:ascii="宋体" w:eastAsia="宋体" w:hAnsi="宋体" w:cs="宋体" w:hint="eastAsia"/>
                <w:color w:val="6D6D6D"/>
                <w:kern w:val="0"/>
                <w:sz w:val="18"/>
                <w:szCs w:val="18"/>
              </w:rPr>
              <w:t>发布日期：2016年03月22日</w:t>
            </w:r>
          </w:p>
        </w:tc>
        <w:tc>
          <w:tcPr>
            <w:tcW w:w="0" w:type="auto"/>
            <w:shd w:val="clear" w:color="auto" w:fill="EAEEF1"/>
            <w:tcMar>
              <w:top w:w="75" w:type="dxa"/>
              <w:left w:w="0" w:type="dxa"/>
              <w:bottom w:w="0" w:type="dxa"/>
              <w:right w:w="300" w:type="dxa"/>
            </w:tcMar>
            <w:vAlign w:val="center"/>
            <w:hideMark/>
          </w:tcPr>
          <w:p w14:paraId="3FBBB460" w14:textId="77777777" w:rsidR="001C7E12" w:rsidRPr="001C7E12" w:rsidRDefault="001C7E12" w:rsidP="001C7E12">
            <w:pPr>
              <w:widowControl/>
              <w:jc w:val="right"/>
              <w:rPr>
                <w:rFonts w:ascii="宋体" w:eastAsia="宋体" w:hAnsi="宋体" w:cs="宋体" w:hint="eastAsia"/>
                <w:color w:val="6D6D6D"/>
                <w:kern w:val="0"/>
                <w:sz w:val="18"/>
                <w:szCs w:val="18"/>
              </w:rPr>
            </w:pPr>
            <w:r w:rsidRPr="001C7E12">
              <w:rPr>
                <w:rFonts w:ascii="宋体" w:eastAsia="宋体" w:hAnsi="宋体" w:cs="宋体" w:hint="eastAsia"/>
                <w:color w:val="6D6D6D"/>
                <w:kern w:val="0"/>
                <w:sz w:val="18"/>
                <w:szCs w:val="18"/>
              </w:rPr>
              <w:t>点击次数：16110</w:t>
            </w:r>
          </w:p>
        </w:tc>
      </w:tr>
      <w:tr w:rsidR="001C7E12" w:rsidRPr="001C7E12" w14:paraId="536FF00A" w14:textId="77777777">
        <w:trPr>
          <w:tblCellSpacing w:w="0" w:type="dxa"/>
          <w:jc w:val="center"/>
        </w:trPr>
        <w:tc>
          <w:tcPr>
            <w:tcW w:w="0" w:type="auto"/>
            <w:gridSpan w:val="2"/>
            <w:vAlign w:val="center"/>
            <w:hideMark/>
          </w:tcPr>
          <w:p w14:paraId="6B44869D" w14:textId="77777777" w:rsidR="001C7E12" w:rsidRPr="001C7E12" w:rsidRDefault="001C7E12" w:rsidP="001C7E12">
            <w:pPr>
              <w:widowControl/>
              <w:spacing w:before="100" w:beforeAutospacing="1" w:after="100" w:afterAutospacing="1" w:line="450" w:lineRule="atLeast"/>
              <w:jc w:val="left"/>
              <w:rPr>
                <w:rFonts w:ascii="宋体" w:eastAsia="宋体" w:hAnsi="宋体" w:cs="宋体" w:hint="eastAsia"/>
                <w:color w:val="6D6D6D"/>
                <w:kern w:val="0"/>
                <w:szCs w:val="21"/>
              </w:rPr>
            </w:pPr>
            <w:r w:rsidRPr="001C7E12">
              <w:rPr>
                <w:rFonts w:ascii="宋体" w:eastAsia="宋体" w:hAnsi="宋体" w:cs="宋体" w:hint="eastAsia"/>
                <w:color w:val="000000"/>
                <w:kern w:val="0"/>
                <w:sz w:val="28"/>
                <w:szCs w:val="28"/>
              </w:rPr>
              <w:t>  根据《中国资产评估协会执业会员管理办法（试行）》（</w:t>
            </w:r>
            <w:proofErr w:type="gramStart"/>
            <w:r w:rsidRPr="001C7E12">
              <w:rPr>
                <w:rFonts w:ascii="宋体" w:eastAsia="宋体" w:hAnsi="宋体" w:cs="宋体" w:hint="eastAsia"/>
                <w:color w:val="000000"/>
                <w:kern w:val="0"/>
                <w:sz w:val="28"/>
                <w:szCs w:val="28"/>
              </w:rPr>
              <w:t>中评协</w:t>
            </w:r>
            <w:proofErr w:type="gramEnd"/>
            <w:r w:rsidRPr="001C7E12">
              <w:rPr>
                <w:rFonts w:ascii="宋体" w:eastAsia="宋体" w:hAnsi="宋体" w:cs="宋体" w:hint="eastAsia"/>
                <w:color w:val="000000"/>
                <w:kern w:val="0"/>
                <w:sz w:val="28"/>
                <w:szCs w:val="28"/>
              </w:rPr>
              <w:t>﹝2016﹞5号）（以下简称《执业会员办法》）的有关规定，北京地区资产评估师转所应按如下程序办理：</w:t>
            </w:r>
          </w:p>
          <w:p w14:paraId="3EED1FA9" w14:textId="77777777" w:rsidR="001C7E12" w:rsidRPr="001C7E12" w:rsidRDefault="001C7E12" w:rsidP="001C7E12">
            <w:pPr>
              <w:widowControl/>
              <w:spacing w:line="480" w:lineRule="auto"/>
              <w:ind w:firstLine="562"/>
              <w:jc w:val="left"/>
              <w:rPr>
                <w:rFonts w:ascii="宋体" w:eastAsia="宋体" w:hAnsi="宋体" w:cs="宋体" w:hint="eastAsia"/>
                <w:color w:val="6D6D6D"/>
                <w:kern w:val="0"/>
                <w:szCs w:val="21"/>
              </w:rPr>
            </w:pPr>
            <w:r w:rsidRPr="001C7E12">
              <w:rPr>
                <w:rFonts w:ascii="宋体" w:eastAsia="宋体" w:hAnsi="宋体" w:cs="宋体" w:hint="eastAsia"/>
                <w:b/>
                <w:bCs/>
                <w:color w:val="000000"/>
                <w:kern w:val="0"/>
                <w:sz w:val="28"/>
                <w:szCs w:val="28"/>
              </w:rPr>
              <w:t>一、本会内转所</w:t>
            </w:r>
          </w:p>
          <w:p w14:paraId="29E45C28" w14:textId="77777777" w:rsidR="001C7E12" w:rsidRPr="001C7E12" w:rsidRDefault="001C7E12" w:rsidP="001C7E12">
            <w:pPr>
              <w:widowControl/>
              <w:spacing w:line="480" w:lineRule="auto"/>
              <w:ind w:firstLine="560"/>
              <w:jc w:val="left"/>
              <w:rPr>
                <w:rFonts w:ascii="宋体" w:eastAsia="宋体" w:hAnsi="宋体" w:cs="宋体" w:hint="eastAsia"/>
                <w:color w:val="6D6D6D"/>
                <w:kern w:val="0"/>
                <w:szCs w:val="21"/>
              </w:rPr>
            </w:pPr>
            <w:r w:rsidRPr="001C7E12">
              <w:rPr>
                <w:rFonts w:ascii="宋体" w:eastAsia="宋体" w:hAnsi="宋体" w:cs="宋体" w:hint="eastAsia"/>
                <w:color w:val="000000"/>
                <w:kern w:val="0"/>
                <w:sz w:val="28"/>
                <w:szCs w:val="28"/>
              </w:rPr>
              <w:t>（一）提交由转入、转出机构共同签发意见并盖章的《资产评估师转所申请表》（附件1）（一式三份）；</w:t>
            </w:r>
          </w:p>
          <w:p w14:paraId="38B02221" w14:textId="77777777" w:rsidR="001C7E12" w:rsidRPr="001C7E12" w:rsidRDefault="001C7E12" w:rsidP="001C7E12">
            <w:pPr>
              <w:widowControl/>
              <w:spacing w:line="480" w:lineRule="auto"/>
              <w:ind w:firstLine="560"/>
              <w:jc w:val="left"/>
              <w:rPr>
                <w:rFonts w:ascii="宋体" w:eastAsia="宋体" w:hAnsi="宋体" w:cs="宋体" w:hint="eastAsia"/>
                <w:color w:val="6D6D6D"/>
                <w:kern w:val="0"/>
                <w:szCs w:val="21"/>
              </w:rPr>
            </w:pPr>
            <w:r w:rsidRPr="001C7E12">
              <w:rPr>
                <w:rFonts w:ascii="宋体" w:eastAsia="宋体" w:hAnsi="宋体" w:cs="宋体" w:hint="eastAsia"/>
                <w:color w:val="000000"/>
                <w:kern w:val="0"/>
                <w:sz w:val="28"/>
                <w:szCs w:val="28"/>
              </w:rPr>
              <w:t>（二）提交资产评估师与转入机构签订的劳动合同复印件（一份），劳动合同原件查阅后退回；</w:t>
            </w:r>
          </w:p>
          <w:p w14:paraId="581A1D49" w14:textId="77777777" w:rsidR="001C7E12" w:rsidRPr="001C7E12" w:rsidRDefault="001C7E12" w:rsidP="001C7E12">
            <w:pPr>
              <w:widowControl/>
              <w:spacing w:line="480" w:lineRule="auto"/>
              <w:ind w:firstLine="560"/>
              <w:jc w:val="left"/>
              <w:rPr>
                <w:rFonts w:ascii="宋体" w:eastAsia="宋体" w:hAnsi="宋体" w:cs="宋体" w:hint="eastAsia"/>
                <w:color w:val="6D6D6D"/>
                <w:kern w:val="0"/>
                <w:szCs w:val="21"/>
              </w:rPr>
            </w:pPr>
            <w:r w:rsidRPr="001C7E12">
              <w:rPr>
                <w:rFonts w:ascii="宋体" w:eastAsia="宋体" w:hAnsi="宋体" w:cs="宋体" w:hint="eastAsia"/>
                <w:color w:val="000000"/>
                <w:kern w:val="0"/>
                <w:sz w:val="28"/>
                <w:szCs w:val="28"/>
              </w:rPr>
              <w:t>（三）我会在《资产评估师转所申请表》上签署意见、加盖转所专用章，并在执业会员管理系统中进行转所操作；</w:t>
            </w:r>
          </w:p>
          <w:p w14:paraId="7CE2566D" w14:textId="77777777" w:rsidR="001C7E12" w:rsidRPr="001C7E12" w:rsidRDefault="001C7E12" w:rsidP="001C7E12">
            <w:pPr>
              <w:widowControl/>
              <w:spacing w:line="480" w:lineRule="auto"/>
              <w:ind w:firstLine="560"/>
              <w:jc w:val="left"/>
              <w:rPr>
                <w:rFonts w:ascii="宋体" w:eastAsia="宋体" w:hAnsi="宋体" w:cs="宋体" w:hint="eastAsia"/>
                <w:color w:val="6D6D6D"/>
                <w:kern w:val="0"/>
                <w:szCs w:val="21"/>
              </w:rPr>
            </w:pPr>
            <w:r w:rsidRPr="001C7E12">
              <w:rPr>
                <w:rFonts w:ascii="宋体" w:eastAsia="宋体" w:hAnsi="宋体" w:cs="宋体" w:hint="eastAsia"/>
                <w:color w:val="000000"/>
                <w:kern w:val="0"/>
                <w:sz w:val="28"/>
                <w:szCs w:val="28"/>
              </w:rPr>
              <w:t>（四）我会留存1份转所材料，其它2份《资产评估师转所申请表》交转申请人与转出机构保管。</w:t>
            </w:r>
          </w:p>
          <w:p w14:paraId="121A9CCB" w14:textId="77777777" w:rsidR="001C7E12" w:rsidRPr="001C7E12" w:rsidRDefault="001C7E12" w:rsidP="001C7E12">
            <w:pPr>
              <w:widowControl/>
              <w:spacing w:line="480" w:lineRule="auto"/>
              <w:ind w:firstLine="562"/>
              <w:jc w:val="left"/>
              <w:rPr>
                <w:rFonts w:ascii="宋体" w:eastAsia="宋体" w:hAnsi="宋体" w:cs="宋体" w:hint="eastAsia"/>
                <w:color w:val="6D6D6D"/>
                <w:kern w:val="0"/>
                <w:szCs w:val="21"/>
              </w:rPr>
            </w:pPr>
            <w:r w:rsidRPr="001C7E12">
              <w:rPr>
                <w:rFonts w:ascii="宋体" w:eastAsia="宋体" w:hAnsi="宋体" w:cs="宋体" w:hint="eastAsia"/>
                <w:b/>
                <w:bCs/>
                <w:color w:val="000000"/>
                <w:kern w:val="0"/>
                <w:sz w:val="28"/>
                <w:szCs w:val="28"/>
              </w:rPr>
              <w:t>二、</w:t>
            </w:r>
            <w:proofErr w:type="gramStart"/>
            <w:r w:rsidRPr="001C7E12">
              <w:rPr>
                <w:rFonts w:ascii="宋体" w:eastAsia="宋体" w:hAnsi="宋体" w:cs="宋体" w:hint="eastAsia"/>
                <w:b/>
                <w:bCs/>
                <w:color w:val="000000"/>
                <w:kern w:val="0"/>
                <w:sz w:val="28"/>
                <w:szCs w:val="28"/>
              </w:rPr>
              <w:t>跨协会</w:t>
            </w:r>
            <w:proofErr w:type="gramEnd"/>
            <w:r w:rsidRPr="001C7E12">
              <w:rPr>
                <w:rFonts w:ascii="宋体" w:eastAsia="宋体" w:hAnsi="宋体" w:cs="宋体" w:hint="eastAsia"/>
                <w:b/>
                <w:bCs/>
                <w:color w:val="000000"/>
                <w:kern w:val="0"/>
                <w:sz w:val="28"/>
                <w:szCs w:val="28"/>
              </w:rPr>
              <w:t>转所</w:t>
            </w:r>
          </w:p>
          <w:p w14:paraId="21FDE1B4" w14:textId="77777777" w:rsidR="001C7E12" w:rsidRPr="001C7E12" w:rsidRDefault="001C7E12" w:rsidP="001C7E12">
            <w:pPr>
              <w:widowControl/>
              <w:spacing w:line="480" w:lineRule="auto"/>
              <w:ind w:firstLine="560"/>
              <w:jc w:val="left"/>
              <w:rPr>
                <w:rFonts w:ascii="宋体" w:eastAsia="宋体" w:hAnsi="宋体" w:cs="宋体" w:hint="eastAsia"/>
                <w:color w:val="6D6D6D"/>
                <w:kern w:val="0"/>
                <w:szCs w:val="21"/>
              </w:rPr>
            </w:pPr>
            <w:r w:rsidRPr="001C7E12">
              <w:rPr>
                <w:rFonts w:ascii="宋体" w:eastAsia="宋体" w:hAnsi="宋体" w:cs="宋体" w:hint="eastAsia"/>
                <w:color w:val="000000"/>
                <w:kern w:val="0"/>
                <w:sz w:val="28"/>
                <w:szCs w:val="28"/>
              </w:rPr>
              <w:t>（一）提交由转入、转出机构、转出协会共同签发意见并盖章的《资产评估师转所申请表》（一式四份）；</w:t>
            </w:r>
          </w:p>
          <w:p w14:paraId="23C87495" w14:textId="77777777" w:rsidR="001C7E12" w:rsidRPr="001C7E12" w:rsidRDefault="001C7E12" w:rsidP="001C7E12">
            <w:pPr>
              <w:widowControl/>
              <w:spacing w:line="480" w:lineRule="auto"/>
              <w:ind w:firstLine="560"/>
              <w:jc w:val="left"/>
              <w:rPr>
                <w:rFonts w:ascii="宋体" w:eastAsia="宋体" w:hAnsi="宋体" w:cs="宋体" w:hint="eastAsia"/>
                <w:color w:val="6D6D6D"/>
                <w:kern w:val="0"/>
                <w:szCs w:val="21"/>
              </w:rPr>
            </w:pPr>
            <w:r w:rsidRPr="001C7E12">
              <w:rPr>
                <w:rFonts w:ascii="宋体" w:eastAsia="宋体" w:hAnsi="宋体" w:cs="宋体" w:hint="eastAsia"/>
                <w:color w:val="000000"/>
                <w:kern w:val="0"/>
                <w:sz w:val="28"/>
                <w:szCs w:val="28"/>
              </w:rPr>
              <w:t>（二）提交资产评估师与转入机构签订的劳动合同复印件（一份），劳动合同原件查阅后退回；</w:t>
            </w:r>
          </w:p>
          <w:p w14:paraId="5C2D48D3" w14:textId="77777777" w:rsidR="001C7E12" w:rsidRPr="001C7E12" w:rsidRDefault="001C7E12" w:rsidP="001C7E12">
            <w:pPr>
              <w:widowControl/>
              <w:spacing w:line="480" w:lineRule="auto"/>
              <w:ind w:firstLine="560"/>
              <w:jc w:val="left"/>
              <w:rPr>
                <w:rFonts w:ascii="宋体" w:eastAsia="宋体" w:hAnsi="宋体" w:cs="宋体" w:hint="eastAsia"/>
                <w:color w:val="6D6D6D"/>
                <w:kern w:val="0"/>
                <w:szCs w:val="21"/>
              </w:rPr>
            </w:pPr>
            <w:r w:rsidRPr="001C7E12">
              <w:rPr>
                <w:rFonts w:ascii="宋体" w:eastAsia="宋体" w:hAnsi="宋体" w:cs="宋体" w:hint="eastAsia"/>
                <w:color w:val="000000"/>
                <w:kern w:val="0"/>
                <w:sz w:val="28"/>
                <w:szCs w:val="28"/>
              </w:rPr>
              <w:t>（三）我会在《资产评估师转所申请表》上签署意见、加</w:t>
            </w:r>
            <w:r w:rsidRPr="001C7E12">
              <w:rPr>
                <w:rFonts w:ascii="宋体" w:eastAsia="宋体" w:hAnsi="宋体" w:cs="宋体" w:hint="eastAsia"/>
                <w:color w:val="000000"/>
                <w:kern w:val="0"/>
                <w:sz w:val="28"/>
                <w:szCs w:val="28"/>
              </w:rPr>
              <w:lastRenderedPageBreak/>
              <w:t>盖转所专用章，并在执业会员管理系统中进行转所操作；</w:t>
            </w:r>
          </w:p>
          <w:p w14:paraId="504FB88B" w14:textId="77777777" w:rsidR="001C7E12" w:rsidRPr="001C7E12" w:rsidRDefault="001C7E12" w:rsidP="001C7E12">
            <w:pPr>
              <w:widowControl/>
              <w:spacing w:line="480" w:lineRule="auto"/>
              <w:ind w:firstLine="560"/>
              <w:jc w:val="left"/>
              <w:rPr>
                <w:rFonts w:ascii="宋体" w:eastAsia="宋体" w:hAnsi="宋体" w:cs="宋体" w:hint="eastAsia"/>
                <w:color w:val="6D6D6D"/>
                <w:kern w:val="0"/>
                <w:szCs w:val="21"/>
              </w:rPr>
            </w:pPr>
            <w:r w:rsidRPr="001C7E12">
              <w:rPr>
                <w:rFonts w:ascii="宋体" w:eastAsia="宋体" w:hAnsi="宋体" w:cs="宋体" w:hint="eastAsia"/>
                <w:color w:val="000000"/>
                <w:kern w:val="0"/>
                <w:sz w:val="28"/>
                <w:szCs w:val="28"/>
              </w:rPr>
              <w:t>（四）我会留存1份转所材料，其它3份《资产评估师转所申请表》交转申请人，并由申请人交转出协会与转出机构保管。</w:t>
            </w:r>
          </w:p>
          <w:p w14:paraId="1D6789EF" w14:textId="77777777" w:rsidR="001C7E12" w:rsidRPr="001C7E12" w:rsidRDefault="001C7E12" w:rsidP="001C7E12">
            <w:pPr>
              <w:widowControl/>
              <w:spacing w:line="480" w:lineRule="auto"/>
              <w:ind w:firstLine="562"/>
              <w:jc w:val="left"/>
              <w:rPr>
                <w:rFonts w:ascii="宋体" w:eastAsia="宋体" w:hAnsi="宋体" w:cs="宋体" w:hint="eastAsia"/>
                <w:color w:val="6D6D6D"/>
                <w:kern w:val="0"/>
                <w:szCs w:val="21"/>
              </w:rPr>
            </w:pPr>
            <w:r w:rsidRPr="001C7E12">
              <w:rPr>
                <w:rFonts w:ascii="宋体" w:eastAsia="宋体" w:hAnsi="宋体" w:cs="宋体" w:hint="eastAsia"/>
                <w:b/>
                <w:bCs/>
                <w:color w:val="000000"/>
                <w:kern w:val="0"/>
                <w:sz w:val="28"/>
                <w:szCs w:val="28"/>
              </w:rPr>
              <w:t>三、</w:t>
            </w:r>
            <w:proofErr w:type="gramStart"/>
            <w:r w:rsidRPr="001C7E12">
              <w:rPr>
                <w:rFonts w:ascii="宋体" w:eastAsia="宋体" w:hAnsi="宋体" w:cs="宋体" w:hint="eastAsia"/>
                <w:b/>
                <w:bCs/>
                <w:color w:val="000000"/>
                <w:kern w:val="0"/>
                <w:sz w:val="28"/>
                <w:szCs w:val="28"/>
              </w:rPr>
              <w:t>转协会</w:t>
            </w:r>
            <w:proofErr w:type="gramEnd"/>
            <w:r w:rsidRPr="001C7E12">
              <w:rPr>
                <w:rFonts w:ascii="宋体" w:eastAsia="宋体" w:hAnsi="宋体" w:cs="宋体" w:hint="eastAsia"/>
                <w:b/>
                <w:bCs/>
                <w:color w:val="000000"/>
                <w:kern w:val="0"/>
                <w:sz w:val="28"/>
                <w:szCs w:val="28"/>
              </w:rPr>
              <w:t>代管</w:t>
            </w:r>
          </w:p>
          <w:p w14:paraId="28235CB5" w14:textId="77777777" w:rsidR="001C7E12" w:rsidRPr="001C7E12" w:rsidRDefault="001C7E12" w:rsidP="001C7E12">
            <w:pPr>
              <w:widowControl/>
              <w:spacing w:line="480" w:lineRule="auto"/>
              <w:ind w:firstLine="560"/>
              <w:jc w:val="left"/>
              <w:rPr>
                <w:rFonts w:ascii="宋体" w:eastAsia="宋体" w:hAnsi="宋体" w:cs="宋体" w:hint="eastAsia"/>
                <w:color w:val="6D6D6D"/>
                <w:kern w:val="0"/>
                <w:szCs w:val="21"/>
              </w:rPr>
            </w:pPr>
            <w:r w:rsidRPr="001C7E12">
              <w:rPr>
                <w:rFonts w:ascii="宋体" w:eastAsia="宋体" w:hAnsi="宋体" w:cs="宋体" w:hint="eastAsia"/>
                <w:color w:val="000000"/>
                <w:kern w:val="0"/>
                <w:sz w:val="28"/>
                <w:szCs w:val="28"/>
              </w:rPr>
              <w:t xml:space="preserve">（一）发生如下情形的执业会员应当在30日内办理转出手续，转为协会代管状态： </w:t>
            </w:r>
          </w:p>
          <w:p w14:paraId="6FA85F26" w14:textId="77777777" w:rsidR="001C7E12" w:rsidRPr="001C7E12" w:rsidRDefault="001C7E12" w:rsidP="001C7E12">
            <w:pPr>
              <w:widowControl/>
              <w:spacing w:line="480" w:lineRule="auto"/>
              <w:ind w:firstLine="560"/>
              <w:jc w:val="left"/>
              <w:rPr>
                <w:rFonts w:ascii="宋体" w:eastAsia="宋体" w:hAnsi="宋体" w:cs="宋体" w:hint="eastAsia"/>
                <w:color w:val="6D6D6D"/>
                <w:kern w:val="0"/>
                <w:szCs w:val="21"/>
              </w:rPr>
            </w:pPr>
            <w:r w:rsidRPr="001C7E12">
              <w:rPr>
                <w:rFonts w:ascii="宋体" w:eastAsia="宋体" w:hAnsi="宋体" w:cs="宋体" w:hint="eastAsia"/>
                <w:color w:val="000000"/>
                <w:kern w:val="0"/>
                <w:sz w:val="28"/>
                <w:szCs w:val="28"/>
              </w:rPr>
              <w:t>1.所在资产评估机构被依法注销；</w:t>
            </w:r>
          </w:p>
          <w:p w14:paraId="29571504" w14:textId="77777777" w:rsidR="001C7E12" w:rsidRPr="001C7E12" w:rsidRDefault="001C7E12" w:rsidP="001C7E12">
            <w:pPr>
              <w:widowControl/>
              <w:spacing w:line="480" w:lineRule="auto"/>
              <w:ind w:firstLine="560"/>
              <w:jc w:val="left"/>
              <w:rPr>
                <w:rFonts w:ascii="宋体" w:eastAsia="宋体" w:hAnsi="宋体" w:cs="宋体" w:hint="eastAsia"/>
                <w:color w:val="6D6D6D"/>
                <w:kern w:val="0"/>
                <w:szCs w:val="21"/>
              </w:rPr>
            </w:pPr>
            <w:r w:rsidRPr="001C7E12">
              <w:rPr>
                <w:rFonts w:ascii="宋体" w:eastAsia="宋体" w:hAnsi="宋体" w:cs="宋体" w:hint="eastAsia"/>
                <w:color w:val="000000"/>
                <w:kern w:val="0"/>
                <w:sz w:val="28"/>
                <w:szCs w:val="28"/>
              </w:rPr>
              <w:t>2.执业会员与资产评估机构签订的劳动合同终止且未转入另外一家资产评估机构执业。</w:t>
            </w:r>
          </w:p>
          <w:p w14:paraId="0CCDF6A0" w14:textId="77777777" w:rsidR="001C7E12" w:rsidRPr="001C7E12" w:rsidRDefault="001C7E12" w:rsidP="001C7E12">
            <w:pPr>
              <w:widowControl/>
              <w:spacing w:line="480" w:lineRule="auto"/>
              <w:ind w:firstLine="560"/>
              <w:jc w:val="left"/>
              <w:rPr>
                <w:rFonts w:ascii="宋体" w:eastAsia="宋体" w:hAnsi="宋体" w:cs="宋体" w:hint="eastAsia"/>
                <w:color w:val="6D6D6D"/>
                <w:kern w:val="0"/>
                <w:szCs w:val="21"/>
              </w:rPr>
            </w:pPr>
            <w:r w:rsidRPr="001C7E12">
              <w:rPr>
                <w:rFonts w:ascii="宋体" w:eastAsia="宋体" w:hAnsi="宋体" w:cs="宋体" w:hint="eastAsia"/>
                <w:color w:val="000000"/>
                <w:kern w:val="0"/>
                <w:sz w:val="28"/>
                <w:szCs w:val="28"/>
              </w:rPr>
              <w:t>（二）提交由转出机构签发意见并盖章的《资产评估师转所申请表》（一式两份），机构已撤销的不用盖章，转入机构处填写“协会代管”字样；</w:t>
            </w:r>
          </w:p>
          <w:p w14:paraId="547B0621" w14:textId="77777777" w:rsidR="001C7E12" w:rsidRPr="001C7E12" w:rsidRDefault="001C7E12" w:rsidP="001C7E12">
            <w:pPr>
              <w:widowControl/>
              <w:spacing w:line="480" w:lineRule="auto"/>
              <w:ind w:firstLine="560"/>
              <w:jc w:val="left"/>
              <w:rPr>
                <w:rFonts w:ascii="宋体" w:eastAsia="宋体" w:hAnsi="宋体" w:cs="宋体" w:hint="eastAsia"/>
                <w:color w:val="6D6D6D"/>
                <w:kern w:val="0"/>
                <w:szCs w:val="21"/>
              </w:rPr>
            </w:pPr>
            <w:r w:rsidRPr="001C7E12">
              <w:rPr>
                <w:rFonts w:ascii="宋体" w:eastAsia="宋体" w:hAnsi="宋体" w:cs="宋体" w:hint="eastAsia"/>
                <w:color w:val="000000"/>
                <w:kern w:val="0"/>
                <w:sz w:val="28"/>
                <w:szCs w:val="28"/>
              </w:rPr>
              <w:t>（三）我会在执业会员管理系统中将其转入地方协会代管节点，代管期限不超过12个月；</w:t>
            </w:r>
          </w:p>
          <w:p w14:paraId="0EA70E10" w14:textId="77777777" w:rsidR="001C7E12" w:rsidRPr="001C7E12" w:rsidRDefault="001C7E12" w:rsidP="001C7E12">
            <w:pPr>
              <w:widowControl/>
              <w:spacing w:line="480" w:lineRule="auto"/>
              <w:ind w:firstLine="560"/>
              <w:jc w:val="left"/>
              <w:rPr>
                <w:rFonts w:ascii="宋体" w:eastAsia="宋体" w:hAnsi="宋体" w:cs="宋体" w:hint="eastAsia"/>
                <w:color w:val="6D6D6D"/>
                <w:kern w:val="0"/>
                <w:szCs w:val="21"/>
              </w:rPr>
            </w:pPr>
            <w:r w:rsidRPr="001C7E12">
              <w:rPr>
                <w:rFonts w:ascii="宋体" w:eastAsia="宋体" w:hAnsi="宋体" w:cs="宋体" w:hint="eastAsia"/>
                <w:color w:val="000000"/>
                <w:kern w:val="0"/>
                <w:sz w:val="28"/>
                <w:szCs w:val="28"/>
              </w:rPr>
              <w:t>（四）我会留存1份《资产评估师转所申请表》，另一份交转所申请人保管。</w:t>
            </w:r>
          </w:p>
          <w:p w14:paraId="39D328C5" w14:textId="77777777" w:rsidR="001C7E12" w:rsidRPr="001C7E12" w:rsidRDefault="001C7E12" w:rsidP="001C7E12">
            <w:pPr>
              <w:widowControl/>
              <w:spacing w:line="480" w:lineRule="auto"/>
              <w:ind w:firstLine="562"/>
              <w:jc w:val="left"/>
              <w:rPr>
                <w:rFonts w:ascii="宋体" w:eastAsia="宋体" w:hAnsi="宋体" w:cs="宋体" w:hint="eastAsia"/>
                <w:color w:val="6D6D6D"/>
                <w:kern w:val="0"/>
                <w:szCs w:val="21"/>
              </w:rPr>
            </w:pPr>
            <w:r w:rsidRPr="001C7E12">
              <w:rPr>
                <w:rFonts w:ascii="宋体" w:eastAsia="宋体" w:hAnsi="宋体" w:cs="宋体" w:hint="eastAsia"/>
                <w:b/>
                <w:bCs/>
                <w:color w:val="000000"/>
                <w:kern w:val="0"/>
                <w:sz w:val="28"/>
                <w:szCs w:val="28"/>
              </w:rPr>
              <w:t>四、申请设立资产评估机构过程中转所</w:t>
            </w:r>
          </w:p>
          <w:p w14:paraId="74CFE6CE" w14:textId="77777777" w:rsidR="001C7E12" w:rsidRPr="001C7E12" w:rsidRDefault="001C7E12" w:rsidP="001C7E12">
            <w:pPr>
              <w:widowControl/>
              <w:spacing w:line="480" w:lineRule="auto"/>
              <w:ind w:firstLine="560"/>
              <w:jc w:val="left"/>
              <w:rPr>
                <w:rFonts w:ascii="宋体" w:eastAsia="宋体" w:hAnsi="宋体" w:cs="宋体" w:hint="eastAsia"/>
                <w:color w:val="6D6D6D"/>
                <w:kern w:val="0"/>
                <w:szCs w:val="21"/>
              </w:rPr>
            </w:pPr>
            <w:r w:rsidRPr="001C7E12">
              <w:rPr>
                <w:rFonts w:ascii="宋体" w:eastAsia="宋体" w:hAnsi="宋体" w:cs="宋体" w:hint="eastAsia"/>
                <w:color w:val="000000"/>
                <w:kern w:val="0"/>
                <w:sz w:val="28"/>
                <w:szCs w:val="28"/>
              </w:rPr>
              <w:t>资产评估师转出发起设立新的资产评估机构，应当按上述程序办理转所手续。《资产评估师转所申请表》转入</w:t>
            </w:r>
            <w:proofErr w:type="gramStart"/>
            <w:r w:rsidRPr="001C7E12">
              <w:rPr>
                <w:rFonts w:ascii="宋体" w:eastAsia="宋体" w:hAnsi="宋体" w:cs="宋体" w:hint="eastAsia"/>
                <w:color w:val="000000"/>
                <w:kern w:val="0"/>
                <w:sz w:val="28"/>
                <w:szCs w:val="28"/>
              </w:rPr>
              <w:t>所意见</w:t>
            </w:r>
            <w:proofErr w:type="gramEnd"/>
            <w:r w:rsidRPr="001C7E12">
              <w:rPr>
                <w:rFonts w:ascii="宋体" w:eastAsia="宋体" w:hAnsi="宋体" w:cs="宋体" w:hint="eastAsia"/>
                <w:color w:val="000000"/>
                <w:kern w:val="0"/>
                <w:sz w:val="28"/>
                <w:szCs w:val="28"/>
              </w:rPr>
              <w:t>栏由拟设</w:t>
            </w:r>
            <w:proofErr w:type="gramStart"/>
            <w:r w:rsidRPr="001C7E12">
              <w:rPr>
                <w:rFonts w:ascii="宋体" w:eastAsia="宋体" w:hAnsi="宋体" w:cs="宋体" w:hint="eastAsia"/>
                <w:color w:val="000000"/>
                <w:kern w:val="0"/>
                <w:sz w:val="28"/>
                <w:szCs w:val="28"/>
              </w:rPr>
              <w:t>立机构</w:t>
            </w:r>
            <w:proofErr w:type="gramEnd"/>
            <w:r w:rsidRPr="001C7E12">
              <w:rPr>
                <w:rFonts w:ascii="宋体" w:eastAsia="宋体" w:hAnsi="宋体" w:cs="宋体" w:hint="eastAsia"/>
                <w:color w:val="000000"/>
                <w:kern w:val="0"/>
                <w:sz w:val="28"/>
                <w:szCs w:val="28"/>
              </w:rPr>
              <w:t>的法定代表人或者首席合伙人填写“申请设立资产评估机构”并签字（已拿到公章的加盖机构公章）。</w:t>
            </w:r>
          </w:p>
          <w:p w14:paraId="66D6537C" w14:textId="77777777" w:rsidR="001C7E12" w:rsidRPr="001C7E12" w:rsidRDefault="001C7E12" w:rsidP="001C7E12">
            <w:pPr>
              <w:widowControl/>
              <w:spacing w:line="480" w:lineRule="auto"/>
              <w:ind w:firstLine="562"/>
              <w:jc w:val="left"/>
              <w:rPr>
                <w:rFonts w:ascii="宋体" w:eastAsia="宋体" w:hAnsi="宋体" w:cs="宋体" w:hint="eastAsia"/>
                <w:color w:val="6D6D6D"/>
                <w:kern w:val="0"/>
                <w:szCs w:val="21"/>
              </w:rPr>
            </w:pPr>
            <w:r w:rsidRPr="001C7E12">
              <w:rPr>
                <w:rFonts w:ascii="宋体" w:eastAsia="宋体" w:hAnsi="宋体" w:cs="宋体" w:hint="eastAsia"/>
                <w:b/>
                <w:bCs/>
                <w:color w:val="000000"/>
                <w:kern w:val="0"/>
                <w:sz w:val="28"/>
                <w:szCs w:val="28"/>
              </w:rPr>
              <w:lastRenderedPageBreak/>
              <w:t>五、集体转所</w:t>
            </w:r>
          </w:p>
          <w:p w14:paraId="474DB68E" w14:textId="77777777" w:rsidR="001C7E12" w:rsidRPr="001C7E12" w:rsidRDefault="001C7E12" w:rsidP="001C7E12">
            <w:pPr>
              <w:widowControl/>
              <w:spacing w:line="480" w:lineRule="auto"/>
              <w:ind w:firstLine="560"/>
              <w:jc w:val="left"/>
              <w:rPr>
                <w:rFonts w:ascii="宋体" w:eastAsia="宋体" w:hAnsi="宋体" w:cs="宋体" w:hint="eastAsia"/>
                <w:color w:val="6D6D6D"/>
                <w:kern w:val="0"/>
                <w:szCs w:val="21"/>
              </w:rPr>
            </w:pPr>
            <w:r w:rsidRPr="001C7E12">
              <w:rPr>
                <w:rFonts w:ascii="宋体" w:eastAsia="宋体" w:hAnsi="宋体" w:cs="宋体" w:hint="eastAsia"/>
                <w:color w:val="000000"/>
                <w:kern w:val="0"/>
                <w:sz w:val="28"/>
                <w:szCs w:val="28"/>
              </w:rPr>
              <w:t>涉及三名或以上资产评估师同时转所，并且拟转入机构与转出机构均为相同机构情形的，可以用《资产评估师集体转所申请表》（附件2）替代《资产评估师转所申请表》，其它材料不变。</w:t>
            </w:r>
          </w:p>
          <w:p w14:paraId="0B613EC1" w14:textId="77777777" w:rsidR="001C7E12" w:rsidRPr="001C7E12" w:rsidRDefault="001C7E12" w:rsidP="001C7E12">
            <w:pPr>
              <w:widowControl/>
              <w:spacing w:line="480" w:lineRule="auto"/>
              <w:ind w:firstLine="562"/>
              <w:jc w:val="left"/>
              <w:rPr>
                <w:rFonts w:ascii="宋体" w:eastAsia="宋体" w:hAnsi="宋体" w:cs="宋体" w:hint="eastAsia"/>
                <w:color w:val="6D6D6D"/>
                <w:kern w:val="0"/>
                <w:szCs w:val="21"/>
              </w:rPr>
            </w:pPr>
            <w:r w:rsidRPr="001C7E12">
              <w:rPr>
                <w:rFonts w:ascii="宋体" w:eastAsia="宋体" w:hAnsi="宋体" w:cs="宋体" w:hint="eastAsia"/>
                <w:b/>
                <w:bCs/>
                <w:color w:val="000000"/>
                <w:kern w:val="0"/>
                <w:sz w:val="28"/>
                <w:szCs w:val="28"/>
              </w:rPr>
              <w:t>六、转所办理时间</w:t>
            </w:r>
          </w:p>
          <w:p w14:paraId="2CB12B6F" w14:textId="77777777" w:rsidR="001C7E12" w:rsidRPr="001C7E12" w:rsidRDefault="001C7E12" w:rsidP="001C7E12">
            <w:pPr>
              <w:widowControl/>
              <w:spacing w:before="100" w:beforeAutospacing="1" w:after="100" w:afterAutospacing="1" w:line="450" w:lineRule="atLeast"/>
              <w:jc w:val="left"/>
              <w:rPr>
                <w:rFonts w:ascii="宋体" w:eastAsia="宋体" w:hAnsi="宋体" w:cs="宋体" w:hint="eastAsia"/>
                <w:color w:val="6D6D6D"/>
                <w:kern w:val="0"/>
                <w:szCs w:val="21"/>
              </w:rPr>
            </w:pPr>
            <w:r w:rsidRPr="001C7E12">
              <w:rPr>
                <w:rFonts w:ascii="宋体" w:eastAsia="宋体" w:hAnsi="宋体" w:cs="宋体" w:hint="eastAsia"/>
                <w:color w:val="000000"/>
                <w:kern w:val="0"/>
                <w:sz w:val="28"/>
                <w:szCs w:val="28"/>
              </w:rPr>
              <w:t>  每月前5个工作日办理转所手续（遇公休日顺延）。</w:t>
            </w:r>
          </w:p>
          <w:p w14:paraId="23DC1971" w14:textId="77777777" w:rsidR="001C7E12" w:rsidRPr="001C7E12" w:rsidRDefault="001C7E12" w:rsidP="001C7E12">
            <w:pPr>
              <w:widowControl/>
              <w:spacing w:before="100" w:beforeAutospacing="1" w:after="100" w:afterAutospacing="1" w:line="450" w:lineRule="atLeast"/>
              <w:jc w:val="left"/>
              <w:rPr>
                <w:rFonts w:ascii="宋体" w:eastAsia="宋体" w:hAnsi="宋体" w:cs="宋体" w:hint="eastAsia"/>
                <w:color w:val="6D6D6D"/>
                <w:kern w:val="0"/>
                <w:szCs w:val="21"/>
              </w:rPr>
            </w:pPr>
            <w:r w:rsidRPr="001C7E12">
              <w:rPr>
                <w:rFonts w:ascii="宋体" w:eastAsia="宋体" w:hAnsi="宋体" w:cs="宋体" w:hint="eastAsia"/>
                <w:color w:val="6D6D6D"/>
                <w:kern w:val="0"/>
                <w:szCs w:val="21"/>
              </w:rPr>
              <w:t> </w:t>
            </w:r>
          </w:p>
          <w:p w14:paraId="4DC8CEE7" w14:textId="77777777" w:rsidR="001C7E12" w:rsidRPr="001C7E12" w:rsidRDefault="001C7E12" w:rsidP="001C7E12">
            <w:pPr>
              <w:widowControl/>
              <w:spacing w:line="360" w:lineRule="auto"/>
              <w:ind w:firstLine="560"/>
              <w:jc w:val="left"/>
              <w:rPr>
                <w:rFonts w:ascii="宋体" w:eastAsia="宋体" w:hAnsi="宋体" w:cs="宋体" w:hint="eastAsia"/>
                <w:color w:val="6D6D6D"/>
                <w:kern w:val="0"/>
                <w:szCs w:val="21"/>
              </w:rPr>
            </w:pPr>
            <w:r w:rsidRPr="001C7E12">
              <w:rPr>
                <w:rFonts w:ascii="宋体" w:eastAsia="宋体" w:hAnsi="宋体" w:cs="宋体" w:hint="eastAsia"/>
                <w:color w:val="6D6D6D"/>
                <w:kern w:val="0"/>
                <w:szCs w:val="21"/>
              </w:rPr>
              <w:t> </w:t>
            </w:r>
          </w:p>
          <w:p w14:paraId="2BB65F5E" w14:textId="77777777" w:rsidR="001C7E12" w:rsidRPr="001C7E12" w:rsidRDefault="001C7E12" w:rsidP="001C7E12">
            <w:pPr>
              <w:widowControl/>
              <w:spacing w:line="360" w:lineRule="auto"/>
              <w:ind w:firstLine="560"/>
              <w:jc w:val="left"/>
              <w:rPr>
                <w:rFonts w:ascii="宋体" w:eastAsia="宋体" w:hAnsi="宋体" w:cs="宋体" w:hint="eastAsia"/>
                <w:color w:val="6D6D6D"/>
                <w:kern w:val="0"/>
                <w:szCs w:val="21"/>
              </w:rPr>
            </w:pPr>
            <w:r w:rsidRPr="001C7E12">
              <w:rPr>
                <w:rFonts w:ascii="宋体" w:eastAsia="宋体" w:hAnsi="宋体" w:cs="宋体" w:hint="eastAsia"/>
                <w:color w:val="6D6D6D"/>
                <w:kern w:val="0"/>
                <w:szCs w:val="21"/>
              </w:rPr>
              <w:t> </w:t>
            </w:r>
          </w:p>
          <w:p w14:paraId="0E755EC3" w14:textId="77777777" w:rsidR="001C7E12" w:rsidRPr="001C7E12" w:rsidRDefault="001C7E12" w:rsidP="001C7E12">
            <w:pPr>
              <w:widowControl/>
              <w:spacing w:line="360" w:lineRule="auto"/>
              <w:ind w:firstLine="560"/>
              <w:jc w:val="left"/>
              <w:rPr>
                <w:rFonts w:ascii="宋体" w:eastAsia="宋体" w:hAnsi="宋体" w:cs="宋体" w:hint="eastAsia"/>
                <w:color w:val="6D6D6D"/>
                <w:kern w:val="0"/>
                <w:szCs w:val="21"/>
              </w:rPr>
            </w:pPr>
            <w:r w:rsidRPr="001C7E12">
              <w:rPr>
                <w:rFonts w:ascii="宋体" w:eastAsia="宋体" w:hAnsi="宋体" w:cs="宋体" w:hint="eastAsia"/>
                <w:color w:val="000000"/>
                <w:kern w:val="0"/>
                <w:sz w:val="27"/>
                <w:szCs w:val="27"/>
              </w:rPr>
              <w:t>附件：1. </w:t>
            </w:r>
            <w:hyperlink r:id="rId4" w:history="1">
              <w:r w:rsidRPr="001C7E12">
                <w:rPr>
                  <w:rFonts w:ascii="宋体" w:eastAsia="宋体" w:hAnsi="宋体" w:cs="宋体" w:hint="eastAsia"/>
                  <w:color w:val="0000FF"/>
                  <w:kern w:val="0"/>
                  <w:sz w:val="27"/>
                  <w:szCs w:val="27"/>
                  <w:u w:val="single"/>
                </w:rPr>
                <w:t>资产评估师转所申请表</w:t>
              </w:r>
            </w:hyperlink>
          </w:p>
          <w:p w14:paraId="47C10880" w14:textId="77777777" w:rsidR="001C7E12" w:rsidRPr="001C7E12" w:rsidRDefault="001C7E12" w:rsidP="001C7E12">
            <w:pPr>
              <w:widowControl/>
              <w:spacing w:line="360" w:lineRule="auto"/>
              <w:ind w:firstLine="560"/>
              <w:jc w:val="left"/>
              <w:rPr>
                <w:rFonts w:ascii="宋体" w:eastAsia="宋体" w:hAnsi="宋体" w:cs="宋体" w:hint="eastAsia"/>
                <w:color w:val="6D6D6D"/>
                <w:kern w:val="0"/>
                <w:szCs w:val="21"/>
              </w:rPr>
            </w:pPr>
            <w:r w:rsidRPr="001C7E12">
              <w:rPr>
                <w:rFonts w:ascii="宋体" w:eastAsia="宋体" w:hAnsi="宋体" w:cs="宋体" w:hint="eastAsia"/>
                <w:color w:val="000000"/>
                <w:kern w:val="0"/>
                <w:sz w:val="28"/>
                <w:szCs w:val="28"/>
              </w:rPr>
              <w:t>2.</w:t>
            </w:r>
            <w:hyperlink r:id="rId5" w:history="1">
              <w:r w:rsidRPr="001C7E12">
                <w:rPr>
                  <w:rFonts w:ascii="宋体" w:eastAsia="宋体" w:hAnsi="宋体" w:cs="宋体" w:hint="eastAsia"/>
                  <w:color w:val="0000FF"/>
                  <w:kern w:val="0"/>
                  <w:sz w:val="27"/>
                  <w:szCs w:val="27"/>
                  <w:u w:val="single"/>
                </w:rPr>
                <w:t>资产评估</w:t>
              </w:r>
              <w:proofErr w:type="gramStart"/>
              <w:r w:rsidRPr="001C7E12">
                <w:rPr>
                  <w:rFonts w:ascii="宋体" w:eastAsia="宋体" w:hAnsi="宋体" w:cs="宋体" w:hint="eastAsia"/>
                  <w:color w:val="0000FF"/>
                  <w:kern w:val="0"/>
                  <w:sz w:val="27"/>
                  <w:szCs w:val="27"/>
                  <w:u w:val="single"/>
                </w:rPr>
                <w:t>师集体</w:t>
              </w:r>
              <w:proofErr w:type="gramEnd"/>
              <w:r w:rsidRPr="001C7E12">
                <w:rPr>
                  <w:rFonts w:ascii="宋体" w:eastAsia="宋体" w:hAnsi="宋体" w:cs="宋体" w:hint="eastAsia"/>
                  <w:color w:val="0000FF"/>
                  <w:kern w:val="0"/>
                  <w:sz w:val="27"/>
                  <w:szCs w:val="27"/>
                  <w:u w:val="single"/>
                </w:rPr>
                <w:t>转所申请表</w:t>
              </w:r>
            </w:hyperlink>
          </w:p>
        </w:tc>
      </w:tr>
    </w:tbl>
    <w:p w14:paraId="2E035E12" w14:textId="77777777" w:rsidR="00737F4B" w:rsidRPr="001C7E12" w:rsidRDefault="00737F4B">
      <w:pPr>
        <w:rPr>
          <w:rFonts w:hint="eastAsia"/>
        </w:rPr>
      </w:pPr>
    </w:p>
    <w:sectPr w:rsidR="00737F4B" w:rsidRPr="001C7E1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B7A93"/>
    <w:rsid w:val="00082F20"/>
    <w:rsid w:val="000970AD"/>
    <w:rsid w:val="000F1702"/>
    <w:rsid w:val="001A3D89"/>
    <w:rsid w:val="001B3F85"/>
    <w:rsid w:val="001C7E12"/>
    <w:rsid w:val="00272EF5"/>
    <w:rsid w:val="00292045"/>
    <w:rsid w:val="002B7854"/>
    <w:rsid w:val="003326D0"/>
    <w:rsid w:val="003B76E2"/>
    <w:rsid w:val="003B7A93"/>
    <w:rsid w:val="003C5EA3"/>
    <w:rsid w:val="00416911"/>
    <w:rsid w:val="004533F8"/>
    <w:rsid w:val="004B4E20"/>
    <w:rsid w:val="005D0448"/>
    <w:rsid w:val="00635CF5"/>
    <w:rsid w:val="00673B2C"/>
    <w:rsid w:val="006841F0"/>
    <w:rsid w:val="006B63E7"/>
    <w:rsid w:val="00737F4B"/>
    <w:rsid w:val="0076721A"/>
    <w:rsid w:val="007A2533"/>
    <w:rsid w:val="008F1D92"/>
    <w:rsid w:val="009514F2"/>
    <w:rsid w:val="009D1BC1"/>
    <w:rsid w:val="009D3463"/>
    <w:rsid w:val="00A24341"/>
    <w:rsid w:val="00A47D98"/>
    <w:rsid w:val="00AE6CC2"/>
    <w:rsid w:val="00BB04DD"/>
    <w:rsid w:val="00C26D9D"/>
    <w:rsid w:val="00C35DD2"/>
    <w:rsid w:val="00D131DA"/>
    <w:rsid w:val="00E6238D"/>
    <w:rsid w:val="00E77078"/>
    <w:rsid w:val="00F06FD8"/>
    <w:rsid w:val="00F137A5"/>
    <w:rsid w:val="00F71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B0E209-0710-4AB7-9F47-771FF8DD9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C7E12"/>
    <w:rPr>
      <w:color w:val="0000FF"/>
      <w:u w:val="single"/>
    </w:rPr>
  </w:style>
  <w:style w:type="paragraph" w:styleId="a4">
    <w:name w:val="Normal (Web)"/>
    <w:basedOn w:val="a"/>
    <w:uiPriority w:val="99"/>
    <w:semiHidden/>
    <w:unhideWhenUsed/>
    <w:rsid w:val="001C7E12"/>
    <w:pPr>
      <w:widowControl/>
      <w:spacing w:before="100" w:beforeAutospacing="1" w:after="100" w:afterAutospacing="1" w:line="450" w:lineRule="atLeast"/>
      <w:jc w:val="left"/>
    </w:pPr>
    <w:rPr>
      <w:rFonts w:ascii="宋体" w:eastAsia="宋体" w:hAnsi="宋体" w:cs="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7471762">
      <w:bodyDiv w:val="1"/>
      <w:marLeft w:val="0"/>
      <w:marRight w:val="0"/>
      <w:marTop w:val="0"/>
      <w:marBottom w:val="0"/>
      <w:divBdr>
        <w:top w:val="none" w:sz="0" w:space="0" w:color="auto"/>
        <w:left w:val="none" w:sz="0" w:space="0" w:color="auto"/>
        <w:bottom w:val="none" w:sz="0" w:space="0" w:color="auto"/>
        <w:right w:val="none" w:sz="0" w:space="0" w:color="auto"/>
      </w:divBdr>
      <w:divsChild>
        <w:div w:id="1870026774">
          <w:marLeft w:val="0"/>
          <w:marRight w:val="0"/>
          <w:marTop w:val="0"/>
          <w:marBottom w:val="0"/>
          <w:divBdr>
            <w:top w:val="none" w:sz="0" w:space="0" w:color="auto"/>
            <w:left w:val="none" w:sz="0" w:space="0" w:color="auto"/>
            <w:bottom w:val="none" w:sz="0" w:space="0" w:color="auto"/>
            <w:right w:val="none" w:sz="0" w:space="0" w:color="auto"/>
          </w:divBdr>
          <w:divsChild>
            <w:div w:id="969937303">
              <w:marLeft w:val="0"/>
              <w:marRight w:val="0"/>
              <w:marTop w:val="0"/>
              <w:marBottom w:val="0"/>
              <w:divBdr>
                <w:top w:val="none" w:sz="0" w:space="0" w:color="auto"/>
                <w:left w:val="none" w:sz="0" w:space="0" w:color="auto"/>
                <w:bottom w:val="none" w:sz="0" w:space="0" w:color="auto"/>
                <w:right w:val="none" w:sz="0" w:space="0" w:color="auto"/>
              </w:divBdr>
            </w:div>
            <w:div w:id="1424491141">
              <w:marLeft w:val="0"/>
              <w:marRight w:val="0"/>
              <w:marTop w:val="0"/>
              <w:marBottom w:val="0"/>
              <w:divBdr>
                <w:top w:val="none" w:sz="0" w:space="0" w:color="auto"/>
                <w:left w:val="none" w:sz="0" w:space="0" w:color="auto"/>
                <w:bottom w:val="none" w:sz="0" w:space="0" w:color="auto"/>
                <w:right w:val="none" w:sz="0" w:space="0" w:color="auto"/>
              </w:divBdr>
            </w:div>
            <w:div w:id="924731259">
              <w:marLeft w:val="0"/>
              <w:marRight w:val="0"/>
              <w:marTop w:val="0"/>
              <w:marBottom w:val="0"/>
              <w:divBdr>
                <w:top w:val="none" w:sz="0" w:space="0" w:color="auto"/>
                <w:left w:val="none" w:sz="0" w:space="0" w:color="auto"/>
                <w:bottom w:val="none" w:sz="0" w:space="0" w:color="auto"/>
                <w:right w:val="none" w:sz="0" w:space="0" w:color="auto"/>
              </w:divBdr>
            </w:div>
            <w:div w:id="1541089277">
              <w:marLeft w:val="0"/>
              <w:marRight w:val="0"/>
              <w:marTop w:val="0"/>
              <w:marBottom w:val="0"/>
              <w:divBdr>
                <w:top w:val="none" w:sz="0" w:space="0" w:color="auto"/>
                <w:left w:val="none" w:sz="0" w:space="0" w:color="auto"/>
                <w:bottom w:val="none" w:sz="0" w:space="0" w:color="auto"/>
                <w:right w:val="none" w:sz="0" w:space="0" w:color="auto"/>
              </w:divBdr>
            </w:div>
            <w:div w:id="564485987">
              <w:marLeft w:val="0"/>
              <w:marRight w:val="0"/>
              <w:marTop w:val="0"/>
              <w:marBottom w:val="0"/>
              <w:divBdr>
                <w:top w:val="none" w:sz="0" w:space="0" w:color="auto"/>
                <w:left w:val="none" w:sz="0" w:space="0" w:color="auto"/>
                <w:bottom w:val="none" w:sz="0" w:space="0" w:color="auto"/>
                <w:right w:val="none" w:sz="0" w:space="0" w:color="auto"/>
              </w:divBdr>
            </w:div>
            <w:div w:id="1967656012">
              <w:marLeft w:val="0"/>
              <w:marRight w:val="0"/>
              <w:marTop w:val="0"/>
              <w:marBottom w:val="0"/>
              <w:divBdr>
                <w:top w:val="none" w:sz="0" w:space="0" w:color="auto"/>
                <w:left w:val="none" w:sz="0" w:space="0" w:color="auto"/>
                <w:bottom w:val="none" w:sz="0" w:space="0" w:color="auto"/>
                <w:right w:val="none" w:sz="0" w:space="0" w:color="auto"/>
              </w:divBdr>
            </w:div>
            <w:div w:id="1312976041">
              <w:marLeft w:val="0"/>
              <w:marRight w:val="0"/>
              <w:marTop w:val="0"/>
              <w:marBottom w:val="0"/>
              <w:divBdr>
                <w:top w:val="none" w:sz="0" w:space="0" w:color="auto"/>
                <w:left w:val="none" w:sz="0" w:space="0" w:color="auto"/>
                <w:bottom w:val="none" w:sz="0" w:space="0" w:color="auto"/>
                <w:right w:val="none" w:sz="0" w:space="0" w:color="auto"/>
              </w:divBdr>
            </w:div>
            <w:div w:id="766586109">
              <w:marLeft w:val="0"/>
              <w:marRight w:val="0"/>
              <w:marTop w:val="0"/>
              <w:marBottom w:val="0"/>
              <w:divBdr>
                <w:top w:val="none" w:sz="0" w:space="0" w:color="auto"/>
                <w:left w:val="none" w:sz="0" w:space="0" w:color="auto"/>
                <w:bottom w:val="none" w:sz="0" w:space="0" w:color="auto"/>
                <w:right w:val="none" w:sz="0" w:space="0" w:color="auto"/>
              </w:divBdr>
            </w:div>
            <w:div w:id="198131160">
              <w:marLeft w:val="0"/>
              <w:marRight w:val="0"/>
              <w:marTop w:val="0"/>
              <w:marBottom w:val="0"/>
              <w:divBdr>
                <w:top w:val="none" w:sz="0" w:space="0" w:color="auto"/>
                <w:left w:val="none" w:sz="0" w:space="0" w:color="auto"/>
                <w:bottom w:val="none" w:sz="0" w:space="0" w:color="auto"/>
                <w:right w:val="none" w:sz="0" w:space="0" w:color="auto"/>
              </w:divBdr>
            </w:div>
            <w:div w:id="271791028">
              <w:marLeft w:val="0"/>
              <w:marRight w:val="0"/>
              <w:marTop w:val="0"/>
              <w:marBottom w:val="0"/>
              <w:divBdr>
                <w:top w:val="none" w:sz="0" w:space="0" w:color="auto"/>
                <w:left w:val="none" w:sz="0" w:space="0" w:color="auto"/>
                <w:bottom w:val="none" w:sz="0" w:space="0" w:color="auto"/>
                <w:right w:val="none" w:sz="0" w:space="0" w:color="auto"/>
              </w:divBdr>
            </w:div>
            <w:div w:id="480079099">
              <w:marLeft w:val="0"/>
              <w:marRight w:val="0"/>
              <w:marTop w:val="0"/>
              <w:marBottom w:val="0"/>
              <w:divBdr>
                <w:top w:val="none" w:sz="0" w:space="0" w:color="auto"/>
                <w:left w:val="none" w:sz="0" w:space="0" w:color="auto"/>
                <w:bottom w:val="none" w:sz="0" w:space="0" w:color="auto"/>
                <w:right w:val="none" w:sz="0" w:space="0" w:color="auto"/>
              </w:divBdr>
            </w:div>
            <w:div w:id="2142646830">
              <w:marLeft w:val="0"/>
              <w:marRight w:val="0"/>
              <w:marTop w:val="0"/>
              <w:marBottom w:val="0"/>
              <w:divBdr>
                <w:top w:val="none" w:sz="0" w:space="0" w:color="auto"/>
                <w:left w:val="none" w:sz="0" w:space="0" w:color="auto"/>
                <w:bottom w:val="none" w:sz="0" w:space="0" w:color="auto"/>
                <w:right w:val="none" w:sz="0" w:space="0" w:color="auto"/>
              </w:divBdr>
            </w:div>
            <w:div w:id="825517061">
              <w:marLeft w:val="0"/>
              <w:marRight w:val="0"/>
              <w:marTop w:val="0"/>
              <w:marBottom w:val="0"/>
              <w:divBdr>
                <w:top w:val="none" w:sz="0" w:space="0" w:color="auto"/>
                <w:left w:val="none" w:sz="0" w:space="0" w:color="auto"/>
                <w:bottom w:val="none" w:sz="0" w:space="0" w:color="auto"/>
                <w:right w:val="none" w:sz="0" w:space="0" w:color="auto"/>
              </w:divBdr>
            </w:div>
            <w:div w:id="1033192725">
              <w:marLeft w:val="0"/>
              <w:marRight w:val="0"/>
              <w:marTop w:val="0"/>
              <w:marBottom w:val="0"/>
              <w:divBdr>
                <w:top w:val="none" w:sz="0" w:space="0" w:color="auto"/>
                <w:left w:val="none" w:sz="0" w:space="0" w:color="auto"/>
                <w:bottom w:val="none" w:sz="0" w:space="0" w:color="auto"/>
                <w:right w:val="none" w:sz="0" w:space="0" w:color="auto"/>
              </w:divBdr>
            </w:div>
            <w:div w:id="1703827409">
              <w:marLeft w:val="0"/>
              <w:marRight w:val="0"/>
              <w:marTop w:val="0"/>
              <w:marBottom w:val="0"/>
              <w:divBdr>
                <w:top w:val="none" w:sz="0" w:space="0" w:color="auto"/>
                <w:left w:val="none" w:sz="0" w:space="0" w:color="auto"/>
                <w:bottom w:val="none" w:sz="0" w:space="0" w:color="auto"/>
                <w:right w:val="none" w:sz="0" w:space="0" w:color="auto"/>
              </w:divBdr>
            </w:div>
            <w:div w:id="250435529">
              <w:marLeft w:val="0"/>
              <w:marRight w:val="0"/>
              <w:marTop w:val="0"/>
              <w:marBottom w:val="0"/>
              <w:divBdr>
                <w:top w:val="none" w:sz="0" w:space="0" w:color="auto"/>
                <w:left w:val="none" w:sz="0" w:space="0" w:color="auto"/>
                <w:bottom w:val="none" w:sz="0" w:space="0" w:color="auto"/>
                <w:right w:val="none" w:sz="0" w:space="0" w:color="auto"/>
              </w:divBdr>
            </w:div>
            <w:div w:id="1272014248">
              <w:marLeft w:val="0"/>
              <w:marRight w:val="0"/>
              <w:marTop w:val="0"/>
              <w:marBottom w:val="0"/>
              <w:divBdr>
                <w:top w:val="none" w:sz="0" w:space="0" w:color="auto"/>
                <w:left w:val="none" w:sz="0" w:space="0" w:color="auto"/>
                <w:bottom w:val="none" w:sz="0" w:space="0" w:color="auto"/>
                <w:right w:val="none" w:sz="0" w:space="0" w:color="auto"/>
              </w:divBdr>
            </w:div>
            <w:div w:id="1967466338">
              <w:marLeft w:val="0"/>
              <w:marRight w:val="0"/>
              <w:marTop w:val="0"/>
              <w:marBottom w:val="0"/>
              <w:divBdr>
                <w:top w:val="none" w:sz="0" w:space="0" w:color="auto"/>
                <w:left w:val="none" w:sz="0" w:space="0" w:color="auto"/>
                <w:bottom w:val="none" w:sz="0" w:space="0" w:color="auto"/>
                <w:right w:val="none" w:sz="0" w:space="0" w:color="auto"/>
              </w:divBdr>
            </w:div>
            <w:div w:id="1705397892">
              <w:marLeft w:val="0"/>
              <w:marRight w:val="0"/>
              <w:marTop w:val="0"/>
              <w:marBottom w:val="0"/>
              <w:divBdr>
                <w:top w:val="none" w:sz="0" w:space="0" w:color="auto"/>
                <w:left w:val="none" w:sz="0" w:space="0" w:color="auto"/>
                <w:bottom w:val="none" w:sz="0" w:space="0" w:color="auto"/>
                <w:right w:val="none" w:sz="0" w:space="0" w:color="auto"/>
              </w:divBdr>
            </w:div>
            <w:div w:id="942688450">
              <w:marLeft w:val="0"/>
              <w:marRight w:val="0"/>
              <w:marTop w:val="0"/>
              <w:marBottom w:val="0"/>
              <w:divBdr>
                <w:top w:val="none" w:sz="0" w:space="0" w:color="auto"/>
                <w:left w:val="none" w:sz="0" w:space="0" w:color="auto"/>
                <w:bottom w:val="none" w:sz="0" w:space="0" w:color="auto"/>
                <w:right w:val="none" w:sz="0" w:space="0" w:color="auto"/>
              </w:divBdr>
            </w:div>
            <w:div w:id="1411803921">
              <w:marLeft w:val="0"/>
              <w:marRight w:val="0"/>
              <w:marTop w:val="0"/>
              <w:marBottom w:val="0"/>
              <w:divBdr>
                <w:top w:val="none" w:sz="0" w:space="0" w:color="auto"/>
                <w:left w:val="none" w:sz="0" w:space="0" w:color="auto"/>
                <w:bottom w:val="none" w:sz="0" w:space="0" w:color="auto"/>
                <w:right w:val="none" w:sz="0" w:space="0" w:color="auto"/>
              </w:divBdr>
            </w:div>
            <w:div w:id="561329911">
              <w:marLeft w:val="0"/>
              <w:marRight w:val="0"/>
              <w:marTop w:val="0"/>
              <w:marBottom w:val="0"/>
              <w:divBdr>
                <w:top w:val="none" w:sz="0" w:space="0" w:color="auto"/>
                <w:left w:val="none" w:sz="0" w:space="0" w:color="auto"/>
                <w:bottom w:val="none" w:sz="0" w:space="0" w:color="auto"/>
                <w:right w:val="none" w:sz="0" w:space="0" w:color="auto"/>
              </w:divBdr>
            </w:div>
            <w:div w:id="660352470">
              <w:marLeft w:val="0"/>
              <w:marRight w:val="0"/>
              <w:marTop w:val="0"/>
              <w:marBottom w:val="0"/>
              <w:divBdr>
                <w:top w:val="none" w:sz="0" w:space="0" w:color="auto"/>
                <w:left w:val="none" w:sz="0" w:space="0" w:color="auto"/>
                <w:bottom w:val="none" w:sz="0" w:space="0" w:color="auto"/>
                <w:right w:val="none" w:sz="0" w:space="0" w:color="auto"/>
              </w:divBdr>
            </w:div>
            <w:div w:id="1910071453">
              <w:marLeft w:val="0"/>
              <w:marRight w:val="0"/>
              <w:marTop w:val="0"/>
              <w:marBottom w:val="0"/>
              <w:divBdr>
                <w:top w:val="none" w:sz="0" w:space="0" w:color="auto"/>
                <w:left w:val="none" w:sz="0" w:space="0" w:color="auto"/>
                <w:bottom w:val="none" w:sz="0" w:space="0" w:color="auto"/>
                <w:right w:val="none" w:sz="0" w:space="0" w:color="auto"/>
              </w:divBdr>
            </w:div>
            <w:div w:id="2081127963">
              <w:marLeft w:val="0"/>
              <w:marRight w:val="0"/>
              <w:marTop w:val="0"/>
              <w:marBottom w:val="0"/>
              <w:divBdr>
                <w:top w:val="none" w:sz="0" w:space="0" w:color="auto"/>
                <w:left w:val="none" w:sz="0" w:space="0" w:color="auto"/>
                <w:bottom w:val="none" w:sz="0" w:space="0" w:color="auto"/>
                <w:right w:val="none" w:sz="0" w:space="0" w:color="auto"/>
              </w:divBdr>
            </w:div>
            <w:div w:id="17465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icpa.org.cn/upload/file/20160322-1421291.doc" TargetMode="External"/><Relationship Id="rId4" Type="http://schemas.openxmlformats.org/officeDocument/2006/relationships/hyperlink" Target="http://www.bicpa.org.cn/upload/file/20160322-1402532.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1025</Characters>
  <Application>Microsoft Office Word</Application>
  <DocSecurity>0</DocSecurity>
  <Lines>8</Lines>
  <Paragraphs>2</Paragraphs>
  <ScaleCrop>false</ScaleCrop>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tanglili</dc:creator>
  <cp:keywords/>
  <dc:description/>
  <cp:lastModifiedBy>tanglili</cp:lastModifiedBy>
  <cp:revision>3</cp:revision>
  <dcterms:created xsi:type="dcterms:W3CDTF">2021-09-14T06:10:00Z</dcterms:created>
  <dcterms:modified xsi:type="dcterms:W3CDTF">2021-09-14T06:10:00Z</dcterms:modified>
</cp:coreProperties>
</file>